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Pr="001C3D62" w:rsidRDefault="00E31F97" w:rsidP="003D0FFF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932A01">
        <w:rPr>
          <w:rFonts w:ascii="Verdana" w:hAnsi="Verdana"/>
          <w:b/>
          <w:szCs w:val="22"/>
        </w:rPr>
        <w:t>M</w:t>
      </w:r>
      <w:r w:rsidR="00932A01">
        <w:rPr>
          <w:rFonts w:ascii="Verdana" w:hAnsi="Verdana"/>
          <w:b/>
          <w:szCs w:val="22"/>
        </w:rPr>
        <w:tab/>
        <w:t>EMORANDUM, 1</w:t>
      </w:r>
      <w:r w:rsidR="0030611C">
        <w:rPr>
          <w:rFonts w:ascii="Verdana" w:hAnsi="Verdana"/>
          <w:b/>
          <w:szCs w:val="22"/>
        </w:rPr>
        <w:t>4</w:t>
      </w:r>
      <w:r w:rsidR="00932A01">
        <w:rPr>
          <w:rFonts w:ascii="Verdana" w:hAnsi="Verdana"/>
          <w:b/>
          <w:szCs w:val="22"/>
        </w:rPr>
        <w:t>-</w:t>
      </w:r>
      <w:r w:rsidR="007B68E1">
        <w:rPr>
          <w:rFonts w:ascii="Verdana" w:hAnsi="Verdana"/>
          <w:b/>
          <w:szCs w:val="22"/>
        </w:rPr>
        <w:t>13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3D0FFF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  <w:r w:rsidR="003D0FFF">
        <w:rPr>
          <w:rFonts w:ascii="Verdana" w:hAnsi="Verdana"/>
          <w:szCs w:val="22"/>
        </w:rPr>
        <w:br/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30611C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7B68E1">
        <w:rPr>
          <w:rFonts w:ascii="Verdana" w:hAnsi="Verdana"/>
          <w:szCs w:val="22"/>
        </w:rPr>
        <w:t>November 7, 2014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1D6A40" w:rsidRDefault="00E31F97" w:rsidP="00807089">
      <w:pPr>
        <w:ind w:left="1440" w:hanging="1440"/>
        <w:rPr>
          <w:rFonts w:ascii="Verdana" w:hAnsi="Verdana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807089" w:rsidRPr="00807089">
        <w:rPr>
          <w:rFonts w:ascii="Verdana" w:hAnsi="Verdana"/>
          <w:szCs w:val="22"/>
        </w:rPr>
        <w:t>TWIST Instructions:</w:t>
      </w:r>
      <w:r w:rsidR="00807089">
        <w:rPr>
          <w:rFonts w:ascii="Verdana" w:hAnsi="Verdana"/>
          <w:b/>
          <w:szCs w:val="22"/>
        </w:rPr>
        <w:t xml:space="preserve">  </w:t>
      </w:r>
      <w:r w:rsidR="00F9455E">
        <w:rPr>
          <w:rFonts w:ascii="Verdana" w:hAnsi="Verdana"/>
          <w:szCs w:val="22"/>
        </w:rPr>
        <w:t xml:space="preserve">Moving an OOHC Case </w:t>
      </w:r>
      <w:r w:rsidR="00807089">
        <w:rPr>
          <w:rFonts w:ascii="Verdana" w:hAnsi="Verdana"/>
          <w:szCs w:val="22"/>
        </w:rPr>
        <w:t xml:space="preserve">to the Ongoing Function and Re-Entry of Aged </w:t>
      </w:r>
      <w:proofErr w:type="gramStart"/>
      <w:r w:rsidR="00807089">
        <w:rPr>
          <w:rFonts w:ascii="Verdana" w:hAnsi="Verdana"/>
          <w:szCs w:val="22"/>
        </w:rPr>
        <w:t>O</w:t>
      </w:r>
      <w:bookmarkStart w:id="0" w:name="_GoBack"/>
      <w:bookmarkEnd w:id="0"/>
      <w:r w:rsidR="00807089">
        <w:rPr>
          <w:rFonts w:ascii="Verdana" w:hAnsi="Verdana"/>
          <w:szCs w:val="22"/>
        </w:rPr>
        <w:t>ut</w:t>
      </w:r>
      <w:proofErr w:type="gramEnd"/>
      <w:r w:rsidR="00807089">
        <w:rPr>
          <w:rFonts w:ascii="Verdana" w:hAnsi="Verdana"/>
          <w:szCs w:val="22"/>
        </w:rPr>
        <w:t xml:space="preserve"> Youth</w:t>
      </w:r>
    </w:p>
    <w:p w:rsidR="003D0FFF" w:rsidRPr="003D0FFF" w:rsidRDefault="003D0FFF" w:rsidP="001D6A40">
      <w:pPr>
        <w:rPr>
          <w:rFonts w:ascii="Verdana" w:hAnsi="Verdana"/>
        </w:rPr>
      </w:pPr>
    </w:p>
    <w:p w:rsidR="00DA6263" w:rsidRDefault="00807089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The purpose of this memorandum is to provide </w:t>
      </w:r>
      <w:r w:rsidR="00164F21">
        <w:rPr>
          <w:rFonts w:ascii="Verdana" w:hAnsi="Verdana" w:cs="Arial"/>
          <w:color w:val="000000"/>
          <w:sz w:val="21"/>
          <w:szCs w:val="21"/>
        </w:rPr>
        <w:t xml:space="preserve">TWIST </w:t>
      </w:r>
      <w:r>
        <w:rPr>
          <w:rFonts w:ascii="Verdana" w:hAnsi="Verdana" w:cs="Arial"/>
          <w:color w:val="000000"/>
          <w:sz w:val="21"/>
          <w:szCs w:val="21"/>
        </w:rPr>
        <w:t>instruction for staff regarding how to properly</w:t>
      </w:r>
      <w:r w:rsidR="00DA6263">
        <w:rPr>
          <w:rFonts w:ascii="Verdana" w:hAnsi="Verdana" w:cs="Arial"/>
          <w:color w:val="000000"/>
          <w:sz w:val="21"/>
          <w:szCs w:val="21"/>
        </w:rPr>
        <w:t>:</w:t>
      </w:r>
      <w:r>
        <w:rPr>
          <w:rFonts w:ascii="Verdana" w:hAnsi="Verdana" w:cs="Arial"/>
          <w:color w:val="000000"/>
          <w:sz w:val="21"/>
          <w:szCs w:val="21"/>
        </w:rPr>
        <w:t xml:space="preserve"> </w:t>
      </w:r>
    </w:p>
    <w:p w:rsidR="00164F21" w:rsidRDefault="00DA6263" w:rsidP="00DA626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Move a</w:t>
      </w:r>
      <w:r w:rsidR="00164F21">
        <w:rPr>
          <w:rFonts w:ascii="Verdana" w:hAnsi="Verdana" w:cs="Arial"/>
          <w:color w:val="000000"/>
          <w:sz w:val="21"/>
          <w:szCs w:val="21"/>
        </w:rPr>
        <w:t>n investigation,</w:t>
      </w:r>
      <w:r w:rsidR="00807089" w:rsidRPr="00DA6263">
        <w:rPr>
          <w:rFonts w:ascii="Verdana" w:hAnsi="Verdana" w:cs="Arial"/>
          <w:color w:val="000000"/>
          <w:sz w:val="21"/>
          <w:szCs w:val="21"/>
        </w:rPr>
        <w:t xml:space="preserve"> involving </w:t>
      </w:r>
      <w:r w:rsidRPr="00DA6263">
        <w:rPr>
          <w:rFonts w:ascii="Verdana" w:hAnsi="Verdana" w:cs="Arial"/>
          <w:color w:val="000000"/>
          <w:sz w:val="21"/>
          <w:szCs w:val="21"/>
        </w:rPr>
        <w:t>a child in out of home care,</w:t>
      </w:r>
      <w:r w:rsidR="00807089" w:rsidRPr="00DA6263">
        <w:rPr>
          <w:rFonts w:ascii="Verdana" w:hAnsi="Verdana" w:cs="Arial"/>
          <w:color w:val="000000"/>
          <w:sz w:val="21"/>
          <w:szCs w:val="21"/>
        </w:rPr>
        <w:t xml:space="preserve"> </w:t>
      </w:r>
      <w:r w:rsidRPr="00DA6263">
        <w:rPr>
          <w:rFonts w:ascii="Verdana" w:hAnsi="Verdana" w:cs="Arial"/>
          <w:color w:val="000000"/>
          <w:sz w:val="21"/>
          <w:szCs w:val="21"/>
        </w:rPr>
        <w:t>to the ongoing function</w:t>
      </w:r>
      <w:r w:rsidR="00164F21">
        <w:rPr>
          <w:rFonts w:ascii="Verdana" w:hAnsi="Verdana" w:cs="Arial"/>
          <w:color w:val="000000"/>
          <w:sz w:val="21"/>
          <w:szCs w:val="21"/>
        </w:rPr>
        <w:t>; and</w:t>
      </w:r>
    </w:p>
    <w:p w:rsidR="00807089" w:rsidRDefault="00164F21" w:rsidP="00C54E9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Re-enter an aged out youth back into the system.  </w:t>
      </w:r>
      <w:r w:rsidR="00DA6263" w:rsidRPr="00DA6263">
        <w:rPr>
          <w:rFonts w:ascii="Verdana" w:hAnsi="Verdana" w:cs="Arial"/>
          <w:color w:val="000000"/>
          <w:sz w:val="21"/>
          <w:szCs w:val="21"/>
        </w:rPr>
        <w:t xml:space="preserve"> </w:t>
      </w:r>
      <w:r w:rsidR="00807089" w:rsidRPr="00DA6263">
        <w:rPr>
          <w:rFonts w:ascii="Verdana" w:hAnsi="Verdana" w:cs="Arial"/>
          <w:color w:val="000000"/>
          <w:sz w:val="21"/>
          <w:szCs w:val="21"/>
        </w:rPr>
        <w:t xml:space="preserve"> </w:t>
      </w:r>
    </w:p>
    <w:p w:rsidR="00164F21" w:rsidRPr="00164F21" w:rsidRDefault="00164F21" w:rsidP="00164F21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1E2026" w:rsidRDefault="00164F21" w:rsidP="001E2026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b/>
          <w:color w:val="000000"/>
          <w:sz w:val="21"/>
          <w:szCs w:val="21"/>
        </w:rPr>
        <w:t xml:space="preserve">Moving an OOHC case to the ongoing function: </w:t>
      </w:r>
      <w:r w:rsidR="00C54E93" w:rsidRPr="00164F21">
        <w:rPr>
          <w:rFonts w:ascii="Verdana" w:hAnsi="Verdana" w:cs="Arial"/>
          <w:color w:val="000000"/>
          <w:sz w:val="21"/>
          <w:szCs w:val="21"/>
        </w:rPr>
        <w:t xml:space="preserve">It has been </w:t>
      </w:r>
      <w:r>
        <w:rPr>
          <w:rFonts w:ascii="Verdana" w:hAnsi="Verdana" w:cs="Arial"/>
          <w:color w:val="000000"/>
          <w:sz w:val="21"/>
          <w:szCs w:val="21"/>
        </w:rPr>
        <w:t xml:space="preserve">discovered </w:t>
      </w:r>
      <w:r w:rsidR="00C54E93" w:rsidRPr="00164F21">
        <w:rPr>
          <w:rFonts w:ascii="Verdana" w:hAnsi="Verdana" w:cs="Arial"/>
          <w:color w:val="000000"/>
          <w:sz w:val="21"/>
          <w:szCs w:val="21"/>
        </w:rPr>
        <w:t xml:space="preserve">that information on the </w:t>
      </w:r>
      <w:r w:rsidR="003D0FFF" w:rsidRPr="00164F21">
        <w:rPr>
          <w:rFonts w:ascii="Verdana" w:hAnsi="Verdana" w:cs="Arial"/>
          <w:color w:val="000000"/>
          <w:sz w:val="21"/>
          <w:szCs w:val="21"/>
        </w:rPr>
        <w:t>TWS-</w:t>
      </w:r>
      <w:r w:rsidR="00C54E93" w:rsidRPr="00164F21">
        <w:rPr>
          <w:rFonts w:ascii="Verdana" w:hAnsi="Verdana" w:cs="Arial"/>
          <w:color w:val="000000"/>
          <w:sz w:val="21"/>
          <w:szCs w:val="21"/>
        </w:rPr>
        <w:t>M004</w:t>
      </w:r>
      <w:r w:rsidR="003D0FFF" w:rsidRPr="00164F21">
        <w:rPr>
          <w:rFonts w:ascii="Verdana" w:hAnsi="Verdana" w:cs="Arial"/>
          <w:color w:val="000000"/>
          <w:sz w:val="21"/>
          <w:szCs w:val="21"/>
        </w:rPr>
        <w:t xml:space="preserve"> Case Listing</w:t>
      </w:r>
      <w:r w:rsidR="00C54E93" w:rsidRPr="00164F21">
        <w:rPr>
          <w:rFonts w:ascii="Verdana" w:hAnsi="Verdana" w:cs="Arial"/>
          <w:color w:val="000000"/>
          <w:sz w:val="21"/>
          <w:szCs w:val="21"/>
        </w:rPr>
        <w:t xml:space="preserve"> report is </w:t>
      </w:r>
      <w:r w:rsidR="00846EBF">
        <w:rPr>
          <w:rFonts w:ascii="Verdana" w:hAnsi="Verdana" w:cs="Arial"/>
          <w:color w:val="000000"/>
          <w:sz w:val="21"/>
          <w:szCs w:val="21"/>
        </w:rPr>
        <w:t>not being captured accurately</w:t>
      </w:r>
      <w:r w:rsidR="003D0FFF" w:rsidRPr="00164F21">
        <w:rPr>
          <w:rFonts w:ascii="Verdana" w:hAnsi="Verdana" w:cs="Arial"/>
          <w:color w:val="000000"/>
          <w:sz w:val="21"/>
          <w:szCs w:val="21"/>
        </w:rPr>
        <w:t>,</w:t>
      </w:r>
      <w:r w:rsidR="00C54E93" w:rsidRPr="00164F21">
        <w:rPr>
          <w:rFonts w:ascii="Verdana" w:hAnsi="Verdana" w:cs="Arial"/>
          <w:color w:val="000000"/>
          <w:sz w:val="21"/>
          <w:szCs w:val="21"/>
        </w:rPr>
        <w:t xml:space="preserve"> </w:t>
      </w:r>
      <w:r w:rsidR="003D0FFF" w:rsidRPr="00164F21">
        <w:rPr>
          <w:rFonts w:ascii="Verdana" w:hAnsi="Verdana" w:cs="Arial"/>
          <w:color w:val="000000"/>
          <w:sz w:val="21"/>
          <w:szCs w:val="21"/>
        </w:rPr>
        <w:t>in regards to</w:t>
      </w:r>
      <w:r w:rsidR="00C54E93" w:rsidRPr="00164F21">
        <w:rPr>
          <w:rFonts w:ascii="Verdana" w:hAnsi="Verdana" w:cs="Arial"/>
          <w:color w:val="000000"/>
          <w:sz w:val="21"/>
          <w:szCs w:val="21"/>
        </w:rPr>
        <w:t xml:space="preserve"> cases being moved to </w:t>
      </w:r>
      <w:r w:rsidR="00CC39DF" w:rsidRPr="00164F21">
        <w:rPr>
          <w:rFonts w:ascii="Verdana" w:hAnsi="Verdana" w:cs="Arial"/>
          <w:color w:val="000000"/>
          <w:sz w:val="21"/>
          <w:szCs w:val="21"/>
        </w:rPr>
        <w:t>the ongoing function in c-TWIST.</w:t>
      </w:r>
      <w:r w:rsidR="003D0FFF" w:rsidRPr="00164F21">
        <w:rPr>
          <w:rFonts w:ascii="Verdana" w:hAnsi="Verdana" w:cs="Arial"/>
          <w:color w:val="000000"/>
          <w:sz w:val="21"/>
          <w:szCs w:val="21"/>
        </w:rPr>
        <w:t xml:space="preserve">  </w:t>
      </w:r>
      <w:r w:rsidR="00CC39DF" w:rsidRPr="00BB729B">
        <w:rPr>
          <w:rFonts w:ascii="Verdana" w:hAnsi="Verdana" w:cs="Arial"/>
          <w:sz w:val="21"/>
          <w:szCs w:val="21"/>
        </w:rPr>
        <w:t>I-TWIST tip-030</w:t>
      </w:r>
      <w:r w:rsidR="00CC39DF" w:rsidRPr="00164F21">
        <w:rPr>
          <w:rFonts w:ascii="Verdana" w:hAnsi="Verdana" w:cs="Arial"/>
          <w:color w:val="000000"/>
          <w:sz w:val="21"/>
          <w:szCs w:val="21"/>
        </w:rPr>
        <w:t xml:space="preserve"> has recently been issued addressing this matter</w:t>
      </w:r>
      <w:r>
        <w:rPr>
          <w:rFonts w:ascii="Verdana" w:hAnsi="Verdana" w:cs="Arial"/>
          <w:color w:val="000000"/>
          <w:sz w:val="21"/>
          <w:szCs w:val="21"/>
        </w:rPr>
        <w:t>.  T</w:t>
      </w:r>
      <w:r w:rsidR="003D0FFF" w:rsidRPr="00164F21">
        <w:rPr>
          <w:rFonts w:ascii="Verdana" w:hAnsi="Verdana" w:cs="Arial"/>
          <w:color w:val="000000"/>
          <w:sz w:val="21"/>
          <w:szCs w:val="21"/>
        </w:rPr>
        <w:t>he content of that tip is c</w:t>
      </w:r>
      <w:r w:rsidR="001E2026">
        <w:rPr>
          <w:rFonts w:ascii="Verdana" w:hAnsi="Verdana" w:cs="Arial"/>
          <w:color w:val="000000"/>
          <w:sz w:val="21"/>
          <w:szCs w:val="21"/>
        </w:rPr>
        <w:t>ontained within this memorandum, with a</w:t>
      </w:r>
      <w:r w:rsidR="00CC39DF" w:rsidRPr="00164F21">
        <w:rPr>
          <w:rFonts w:ascii="Verdana" w:hAnsi="Verdana" w:cs="Arial"/>
          <w:color w:val="000000"/>
          <w:sz w:val="21"/>
          <w:szCs w:val="21"/>
        </w:rPr>
        <w:t xml:space="preserve">dditional </w:t>
      </w:r>
      <w:r w:rsidR="001E2026">
        <w:rPr>
          <w:rFonts w:ascii="Verdana" w:hAnsi="Verdana" w:cs="Arial"/>
          <w:color w:val="000000"/>
          <w:sz w:val="21"/>
          <w:szCs w:val="21"/>
        </w:rPr>
        <w:t xml:space="preserve">content </w:t>
      </w:r>
      <w:r w:rsidR="00CC39DF" w:rsidRPr="00164F21">
        <w:rPr>
          <w:rFonts w:ascii="Verdana" w:hAnsi="Verdana" w:cs="Arial"/>
          <w:color w:val="000000"/>
          <w:sz w:val="21"/>
          <w:szCs w:val="21"/>
        </w:rPr>
        <w:t>added to include</w:t>
      </w:r>
      <w:r w:rsidR="003D0FFF" w:rsidRPr="00164F21">
        <w:rPr>
          <w:rFonts w:ascii="Verdana" w:hAnsi="Verdana" w:cs="Arial"/>
          <w:color w:val="000000"/>
          <w:sz w:val="21"/>
          <w:szCs w:val="21"/>
        </w:rPr>
        <w:t xml:space="preserve"> how to move an OOHC case to the ongoing function</w:t>
      </w:r>
      <w:r w:rsidR="00846EBF">
        <w:rPr>
          <w:rFonts w:ascii="Verdana" w:hAnsi="Verdana" w:cs="Arial"/>
          <w:color w:val="000000"/>
          <w:sz w:val="21"/>
          <w:szCs w:val="21"/>
        </w:rPr>
        <w:t>,</w:t>
      </w:r>
      <w:r w:rsidR="003D0FFF" w:rsidRPr="00164F21">
        <w:rPr>
          <w:rFonts w:ascii="Verdana" w:hAnsi="Verdana" w:cs="Arial"/>
          <w:color w:val="000000"/>
          <w:sz w:val="21"/>
          <w:szCs w:val="21"/>
        </w:rPr>
        <w:t xml:space="preserve"> and ensure that it populates correctly </w:t>
      </w:r>
      <w:r w:rsidR="000A738C" w:rsidRPr="00164F21">
        <w:rPr>
          <w:rFonts w:ascii="Verdana" w:hAnsi="Verdana" w:cs="Arial"/>
          <w:color w:val="000000"/>
          <w:sz w:val="21"/>
          <w:szCs w:val="21"/>
        </w:rPr>
        <w:t>in c</w:t>
      </w:r>
      <w:r w:rsidR="003D0FFF" w:rsidRPr="00164F21">
        <w:rPr>
          <w:rFonts w:ascii="Verdana" w:hAnsi="Verdana" w:cs="Arial"/>
          <w:color w:val="000000"/>
          <w:sz w:val="21"/>
          <w:szCs w:val="21"/>
        </w:rPr>
        <w:t>-TWIST</w:t>
      </w:r>
      <w:r>
        <w:rPr>
          <w:rFonts w:ascii="Verdana" w:hAnsi="Verdana" w:cs="Arial"/>
          <w:color w:val="000000"/>
          <w:sz w:val="21"/>
          <w:szCs w:val="21"/>
        </w:rPr>
        <w:t xml:space="preserve">.  </w:t>
      </w:r>
      <w:r w:rsidR="00846EBF">
        <w:rPr>
          <w:rFonts w:ascii="Verdana" w:hAnsi="Verdana" w:cs="Arial"/>
          <w:color w:val="000000"/>
          <w:sz w:val="21"/>
          <w:szCs w:val="21"/>
        </w:rPr>
        <w:t>Completing the</w:t>
      </w:r>
      <w:r w:rsidR="001E2026">
        <w:rPr>
          <w:rFonts w:ascii="Verdana" w:hAnsi="Verdana" w:cs="Arial"/>
          <w:color w:val="000000"/>
          <w:sz w:val="21"/>
          <w:szCs w:val="21"/>
        </w:rPr>
        <w:t xml:space="preserve"> steps </w:t>
      </w:r>
      <w:r w:rsidR="00846EBF">
        <w:rPr>
          <w:rFonts w:ascii="Verdana" w:hAnsi="Verdana" w:cs="Arial"/>
          <w:color w:val="000000"/>
          <w:sz w:val="21"/>
          <w:szCs w:val="21"/>
        </w:rPr>
        <w:t xml:space="preserve">below </w:t>
      </w:r>
      <w:r>
        <w:rPr>
          <w:rFonts w:ascii="Verdana" w:hAnsi="Verdana" w:cs="Arial"/>
          <w:color w:val="000000"/>
          <w:sz w:val="21"/>
          <w:szCs w:val="21"/>
        </w:rPr>
        <w:t>will ensure that the case</w:t>
      </w:r>
      <w:r w:rsidR="00411694" w:rsidRPr="00164F21">
        <w:rPr>
          <w:rFonts w:ascii="Verdana" w:hAnsi="Verdana" w:cs="Arial"/>
          <w:color w:val="000000"/>
          <w:sz w:val="21"/>
          <w:szCs w:val="21"/>
        </w:rPr>
        <w:t xml:space="preserve"> </w:t>
      </w:r>
      <w:r>
        <w:rPr>
          <w:rFonts w:ascii="Verdana" w:hAnsi="Verdana" w:cs="Arial"/>
          <w:color w:val="000000"/>
          <w:sz w:val="21"/>
          <w:szCs w:val="21"/>
        </w:rPr>
        <w:t>is</w:t>
      </w:r>
      <w:r w:rsidR="00411694" w:rsidRPr="00164F21">
        <w:rPr>
          <w:rFonts w:ascii="Verdana" w:hAnsi="Verdana" w:cs="Arial"/>
          <w:color w:val="000000"/>
          <w:sz w:val="21"/>
          <w:szCs w:val="21"/>
        </w:rPr>
        <w:t xml:space="preserve"> considered a “true ongoing case” </w:t>
      </w:r>
      <w:r w:rsidR="001E2026">
        <w:rPr>
          <w:rFonts w:ascii="Verdana" w:hAnsi="Verdana" w:cs="Arial"/>
          <w:color w:val="000000"/>
          <w:sz w:val="21"/>
          <w:szCs w:val="21"/>
        </w:rPr>
        <w:t xml:space="preserve">for purposes of </w:t>
      </w:r>
      <w:r w:rsidR="00411694" w:rsidRPr="00164F21">
        <w:rPr>
          <w:rFonts w:ascii="Verdana" w:hAnsi="Verdana" w:cs="Arial"/>
          <w:color w:val="000000"/>
          <w:sz w:val="21"/>
          <w:szCs w:val="21"/>
        </w:rPr>
        <w:t>the M004</w:t>
      </w:r>
      <w:r w:rsidR="00CC39DF" w:rsidRPr="00164F21">
        <w:rPr>
          <w:rFonts w:ascii="Verdana" w:hAnsi="Verdana" w:cs="Arial"/>
          <w:color w:val="000000"/>
          <w:sz w:val="21"/>
          <w:szCs w:val="21"/>
        </w:rPr>
        <w:t xml:space="preserve">:   </w:t>
      </w:r>
      <w:r w:rsidR="00C54E93" w:rsidRPr="00164F21">
        <w:rPr>
          <w:rFonts w:ascii="Verdana" w:hAnsi="Verdana" w:cs="Arial"/>
          <w:color w:val="000000"/>
          <w:sz w:val="21"/>
          <w:szCs w:val="21"/>
        </w:rPr>
        <w:t xml:space="preserve">  </w:t>
      </w:r>
      <w:r w:rsidR="001E2026">
        <w:rPr>
          <w:rFonts w:ascii="Verdana" w:hAnsi="Verdana" w:cs="Arial"/>
          <w:color w:val="000000"/>
          <w:sz w:val="21"/>
          <w:szCs w:val="21"/>
        </w:rPr>
        <w:br/>
      </w:r>
      <w:r w:rsidR="001E2026">
        <w:rPr>
          <w:rFonts w:ascii="Verdana" w:hAnsi="Verdana" w:cs="Arial"/>
          <w:color w:val="000000"/>
          <w:sz w:val="21"/>
          <w:szCs w:val="21"/>
        </w:rPr>
        <w:br/>
      </w:r>
      <w:r w:rsidR="001E2026">
        <w:rPr>
          <w:rFonts w:ascii="Verdana" w:hAnsi="Verdana" w:cs="Arial"/>
          <w:color w:val="000000"/>
          <w:sz w:val="21"/>
          <w:szCs w:val="21"/>
        </w:rPr>
        <w:br/>
      </w:r>
    </w:p>
    <w:p w:rsidR="00846EBF" w:rsidRPr="00846EBF" w:rsidRDefault="00846EBF" w:rsidP="00846EBF">
      <w:pPr>
        <w:autoSpaceDE w:val="0"/>
        <w:autoSpaceDN w:val="0"/>
        <w:adjustRightInd w:val="0"/>
        <w:ind w:left="360"/>
        <w:rPr>
          <w:rFonts w:ascii="Verdana" w:hAnsi="Verdana" w:cs="Arial"/>
          <w:color w:val="000000"/>
          <w:sz w:val="21"/>
          <w:szCs w:val="21"/>
        </w:rPr>
      </w:pPr>
    </w:p>
    <w:p w:rsidR="003D0FFF" w:rsidRPr="001E2026" w:rsidRDefault="001E2026" w:rsidP="001E2026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  <w:r>
        <w:rPr>
          <w:rFonts w:cs="Arial"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 wp14:anchorId="0BAF4A77" wp14:editId="5EC86708">
            <wp:simplePos x="0" y="0"/>
            <wp:positionH relativeFrom="column">
              <wp:posOffset>709930</wp:posOffset>
            </wp:positionH>
            <wp:positionV relativeFrom="paragraph">
              <wp:posOffset>621665</wp:posOffset>
            </wp:positionV>
            <wp:extent cx="5788025" cy="1974850"/>
            <wp:effectExtent l="0" t="0" r="317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93" w:rsidRPr="001E2026">
        <w:rPr>
          <w:rFonts w:ascii="Verdana" w:hAnsi="Verdana" w:cs="Arial"/>
          <w:color w:val="000000"/>
          <w:sz w:val="21"/>
          <w:szCs w:val="21"/>
        </w:rPr>
        <w:t xml:space="preserve">Before </w:t>
      </w:r>
      <w:proofErr w:type="spellStart"/>
      <w:r w:rsidR="00C54E93" w:rsidRPr="001E2026">
        <w:rPr>
          <w:rFonts w:ascii="Verdana" w:hAnsi="Verdana" w:cs="Arial"/>
          <w:color w:val="000000"/>
          <w:sz w:val="21"/>
          <w:szCs w:val="21"/>
        </w:rPr>
        <w:t>i</w:t>
      </w:r>
      <w:proofErr w:type="spellEnd"/>
      <w:r w:rsidR="00C54E93" w:rsidRPr="001E2026">
        <w:rPr>
          <w:rFonts w:ascii="Verdana" w:hAnsi="Verdana" w:cs="Arial"/>
          <w:color w:val="000000"/>
          <w:sz w:val="21"/>
          <w:szCs w:val="21"/>
        </w:rPr>
        <w:t xml:space="preserve">-twist, when a case was </w:t>
      </w:r>
      <w:r w:rsidR="00C54E93" w:rsidRPr="001E2026">
        <w:rPr>
          <w:rFonts w:ascii="Verdana" w:hAnsi="Verdana" w:cs="Arial"/>
          <w:b/>
          <w:bCs/>
          <w:color w:val="000000"/>
          <w:sz w:val="21"/>
          <w:szCs w:val="21"/>
        </w:rPr>
        <w:t xml:space="preserve">open </w:t>
      </w:r>
      <w:r w:rsidR="00C54E93" w:rsidRPr="001E2026">
        <w:rPr>
          <w:rFonts w:ascii="Verdana" w:hAnsi="Verdana" w:cs="Arial"/>
          <w:color w:val="000000"/>
          <w:sz w:val="21"/>
          <w:szCs w:val="21"/>
        </w:rPr>
        <w:t xml:space="preserve">in the ongoing function, but there were </w:t>
      </w:r>
      <w:r w:rsidR="00C54E93" w:rsidRPr="001E2026">
        <w:rPr>
          <w:rFonts w:ascii="Verdana" w:hAnsi="Verdana" w:cs="Arial"/>
          <w:b/>
          <w:bCs/>
          <w:color w:val="000000"/>
          <w:sz w:val="21"/>
          <w:szCs w:val="21"/>
        </w:rPr>
        <w:t>no open program/subprograms</w:t>
      </w:r>
      <w:r w:rsidR="00C54E93" w:rsidRPr="001E2026">
        <w:rPr>
          <w:rFonts w:ascii="Verdana" w:hAnsi="Verdana" w:cs="Arial"/>
          <w:color w:val="000000"/>
          <w:sz w:val="21"/>
          <w:szCs w:val="21"/>
        </w:rPr>
        <w:t>, the ongoing case would remain open even after a referr</w:t>
      </w:r>
      <w:r w:rsidR="00B162F5" w:rsidRPr="001E2026">
        <w:rPr>
          <w:rFonts w:ascii="Verdana" w:hAnsi="Verdana" w:cs="Arial"/>
          <w:color w:val="000000"/>
          <w:sz w:val="21"/>
          <w:szCs w:val="21"/>
        </w:rPr>
        <w:t>al was entered and then closed:</w:t>
      </w:r>
    </w:p>
    <w:p w:rsidR="00164F21" w:rsidRPr="00164F21" w:rsidRDefault="00164F21" w:rsidP="00164F21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C54E93" w:rsidRDefault="00C54E93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C54E93" w:rsidRDefault="00C54E93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C54E93" w:rsidRDefault="00C54E93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C54E93" w:rsidRDefault="00C54E93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B162F5" w:rsidRDefault="00B162F5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D0FFF" w:rsidRDefault="001E2026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noProof/>
          <w:color w:val="000000"/>
          <w:szCs w:val="22"/>
        </w:rPr>
        <w:drawing>
          <wp:anchor distT="0" distB="0" distL="114300" distR="114300" simplePos="0" relativeHeight="251660288" behindDoc="1" locked="0" layoutInCell="1" allowOverlap="1" wp14:anchorId="4AA333AE" wp14:editId="7202794B">
            <wp:simplePos x="0" y="0"/>
            <wp:positionH relativeFrom="column">
              <wp:posOffset>647951</wp:posOffset>
            </wp:positionH>
            <wp:positionV relativeFrom="paragraph">
              <wp:posOffset>36195</wp:posOffset>
            </wp:positionV>
            <wp:extent cx="5848985" cy="34245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FFF" w:rsidRDefault="003D0FFF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D0FFF" w:rsidRPr="00C54E93" w:rsidRDefault="003D0FFF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autoSpaceDE w:val="0"/>
        <w:autoSpaceDN w:val="0"/>
        <w:adjustRightInd w:val="0"/>
        <w:rPr>
          <w:rFonts w:ascii="Verdana" w:hAnsi="Verdana" w:cs="Arial"/>
          <w:color w:val="000000"/>
          <w:sz w:val="21"/>
          <w:szCs w:val="21"/>
        </w:rPr>
      </w:pPr>
    </w:p>
    <w:p w:rsidR="00C54E93" w:rsidRPr="00B162F5" w:rsidRDefault="001E2026" w:rsidP="001E2026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440"/>
        <w:rPr>
          <w:rFonts w:ascii="Verdana" w:hAnsi="Verdana" w:cs="Arial"/>
          <w:color w:val="000000"/>
          <w:sz w:val="21"/>
          <w:szCs w:val="21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FBAEF79" wp14:editId="2181DD56">
            <wp:simplePos x="0" y="0"/>
            <wp:positionH relativeFrom="column">
              <wp:posOffset>1598930</wp:posOffset>
            </wp:positionH>
            <wp:positionV relativeFrom="paragraph">
              <wp:posOffset>626542</wp:posOffset>
            </wp:positionV>
            <wp:extent cx="4572000" cy="2337294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3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93" w:rsidRPr="00B162F5">
        <w:rPr>
          <w:rFonts w:ascii="Verdana" w:hAnsi="Verdana" w:cs="Arial"/>
          <w:color w:val="000000"/>
          <w:sz w:val="21"/>
          <w:szCs w:val="21"/>
        </w:rPr>
        <w:t xml:space="preserve">Since the implementation of </w:t>
      </w:r>
      <w:r w:rsidR="00C54E93" w:rsidRPr="00B162F5">
        <w:rPr>
          <w:rFonts w:ascii="Verdana" w:hAnsi="Verdana" w:cs="Arial"/>
          <w:b/>
          <w:bCs/>
          <w:color w:val="000000"/>
          <w:sz w:val="21"/>
          <w:szCs w:val="21"/>
        </w:rPr>
        <w:t>i-twist</w:t>
      </w:r>
      <w:r w:rsidR="00C54E93" w:rsidRPr="00B162F5">
        <w:rPr>
          <w:rFonts w:ascii="Verdana" w:hAnsi="Verdana" w:cs="Arial"/>
          <w:color w:val="000000"/>
          <w:sz w:val="21"/>
          <w:szCs w:val="21"/>
        </w:rPr>
        <w:t xml:space="preserve">, when a case is </w:t>
      </w:r>
      <w:r w:rsidR="00C54E93" w:rsidRPr="00B162F5">
        <w:rPr>
          <w:rFonts w:ascii="Verdana" w:hAnsi="Verdana" w:cs="Arial"/>
          <w:b/>
          <w:bCs/>
          <w:color w:val="000000"/>
          <w:sz w:val="21"/>
          <w:szCs w:val="21"/>
        </w:rPr>
        <w:t xml:space="preserve">open </w:t>
      </w:r>
      <w:r w:rsidR="00C54E93" w:rsidRPr="00B162F5">
        <w:rPr>
          <w:rFonts w:ascii="Verdana" w:hAnsi="Verdana" w:cs="Arial"/>
          <w:color w:val="000000"/>
          <w:sz w:val="21"/>
          <w:szCs w:val="21"/>
        </w:rPr>
        <w:t xml:space="preserve">in the ongoing function, but there are </w:t>
      </w:r>
      <w:r w:rsidR="00C54E93" w:rsidRPr="00B162F5">
        <w:rPr>
          <w:rFonts w:ascii="Verdana" w:hAnsi="Verdana" w:cs="Arial"/>
          <w:b/>
          <w:bCs/>
          <w:color w:val="000000"/>
          <w:sz w:val="21"/>
          <w:szCs w:val="21"/>
        </w:rPr>
        <w:t>no open program/subprograms</w:t>
      </w:r>
      <w:r w:rsidR="00C54E93" w:rsidRPr="00B162F5">
        <w:rPr>
          <w:rFonts w:ascii="Verdana" w:hAnsi="Verdana" w:cs="Arial"/>
          <w:color w:val="000000"/>
          <w:sz w:val="21"/>
          <w:szCs w:val="21"/>
        </w:rPr>
        <w:t xml:space="preserve">, the case will </w:t>
      </w:r>
      <w:r w:rsidR="00C54E93" w:rsidRPr="00B162F5">
        <w:rPr>
          <w:rFonts w:ascii="Verdana" w:hAnsi="Verdana" w:cs="Arial"/>
          <w:b/>
          <w:bCs/>
          <w:color w:val="000000"/>
          <w:sz w:val="21"/>
          <w:szCs w:val="21"/>
        </w:rPr>
        <w:t xml:space="preserve">close </w:t>
      </w:r>
      <w:r w:rsidR="00C54E93" w:rsidRPr="00B162F5">
        <w:rPr>
          <w:rFonts w:ascii="Verdana" w:hAnsi="Verdana" w:cs="Arial"/>
          <w:color w:val="000000"/>
          <w:sz w:val="21"/>
          <w:szCs w:val="21"/>
        </w:rPr>
        <w:t>in the ongoing function when a new intake is entered and the assess</w:t>
      </w:r>
      <w:r w:rsidR="00B162F5">
        <w:rPr>
          <w:rFonts w:ascii="Verdana" w:hAnsi="Verdana" w:cs="Arial"/>
          <w:color w:val="000000"/>
          <w:sz w:val="21"/>
          <w:szCs w:val="21"/>
        </w:rPr>
        <w:t>ment outcome is “close referral:</w:t>
      </w:r>
      <w:r w:rsidR="00C54E93" w:rsidRPr="00B162F5">
        <w:rPr>
          <w:rFonts w:ascii="Verdana" w:hAnsi="Verdana" w:cs="Arial"/>
          <w:color w:val="000000"/>
          <w:sz w:val="21"/>
          <w:szCs w:val="21"/>
        </w:rPr>
        <w:t xml:space="preserve">” </w:t>
      </w:r>
    </w:p>
    <w:p w:rsidR="00C54E93" w:rsidRDefault="00C54E93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C54E93" w:rsidRPr="00C54E93" w:rsidRDefault="00C54E93" w:rsidP="00C54E93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3D0FFF" w:rsidRDefault="003D0FFF" w:rsidP="00C54E93">
      <w:pPr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rPr>
          <w:rFonts w:ascii="Verdana" w:hAnsi="Verdana" w:cs="Arial"/>
          <w:color w:val="000000"/>
          <w:sz w:val="21"/>
          <w:szCs w:val="21"/>
        </w:rPr>
      </w:pPr>
    </w:p>
    <w:p w:rsidR="003D0FFF" w:rsidRDefault="003D0FFF" w:rsidP="00C54E93">
      <w:pPr>
        <w:rPr>
          <w:rFonts w:ascii="Verdana" w:hAnsi="Verdana" w:cs="Arial"/>
          <w:color w:val="000000"/>
          <w:sz w:val="21"/>
          <w:szCs w:val="21"/>
        </w:rPr>
      </w:pPr>
    </w:p>
    <w:p w:rsidR="001E2026" w:rsidRDefault="001E2026" w:rsidP="00C54E93">
      <w:pPr>
        <w:rPr>
          <w:rFonts w:ascii="Verdana" w:hAnsi="Verdana" w:cs="Arial"/>
          <w:color w:val="000000"/>
          <w:sz w:val="21"/>
          <w:szCs w:val="21"/>
        </w:rPr>
      </w:pPr>
    </w:p>
    <w:p w:rsidR="001E2026" w:rsidRPr="00846EBF" w:rsidRDefault="00B162F5" w:rsidP="00846EBF">
      <w:pPr>
        <w:ind w:left="1080"/>
        <w:rPr>
          <w:rFonts w:ascii="Verdana" w:hAnsi="Verdana" w:cs="Arial"/>
          <w:color w:val="000000"/>
          <w:sz w:val="21"/>
          <w:szCs w:val="21"/>
        </w:rPr>
      </w:pPr>
      <w:r w:rsidRPr="00846EBF">
        <w:rPr>
          <w:rFonts w:ascii="Verdana" w:hAnsi="Verdana" w:cs="Arial"/>
          <w:color w:val="000000"/>
          <w:sz w:val="21"/>
          <w:szCs w:val="21"/>
        </w:rPr>
        <w:t>When</w:t>
      </w:r>
      <w:r w:rsidR="00C54E93" w:rsidRPr="00846EBF">
        <w:rPr>
          <w:rFonts w:ascii="Verdana" w:hAnsi="Verdana" w:cs="Arial"/>
          <w:color w:val="000000"/>
          <w:sz w:val="21"/>
          <w:szCs w:val="21"/>
        </w:rPr>
        <w:t xml:space="preserve"> working on an assessment in a case with the above scenario, </w:t>
      </w:r>
      <w:r w:rsidRPr="00846EBF">
        <w:rPr>
          <w:rFonts w:ascii="Verdana" w:hAnsi="Verdana" w:cs="Arial"/>
          <w:color w:val="000000"/>
          <w:sz w:val="21"/>
          <w:szCs w:val="21"/>
        </w:rPr>
        <w:t xml:space="preserve">if the </w:t>
      </w:r>
      <w:r w:rsidR="00C54E93" w:rsidRPr="00846EBF">
        <w:rPr>
          <w:rFonts w:ascii="Verdana" w:hAnsi="Verdana" w:cs="Arial"/>
          <w:color w:val="000000"/>
          <w:sz w:val="21"/>
          <w:szCs w:val="21"/>
        </w:rPr>
        <w:t>case</w:t>
      </w:r>
      <w:r w:rsidRPr="00846EBF">
        <w:rPr>
          <w:rFonts w:ascii="Verdana" w:hAnsi="Verdana" w:cs="Arial"/>
          <w:color w:val="000000"/>
          <w:sz w:val="21"/>
          <w:szCs w:val="21"/>
        </w:rPr>
        <w:t xml:space="preserve"> is to stay open:</w:t>
      </w:r>
      <w:r w:rsidR="00C54E93" w:rsidRPr="00846EBF">
        <w:rPr>
          <w:rFonts w:ascii="Verdana" w:hAnsi="Verdana" w:cs="Arial"/>
          <w:color w:val="000000"/>
          <w:sz w:val="21"/>
          <w:szCs w:val="21"/>
        </w:rPr>
        <w:t xml:space="preserve"> </w:t>
      </w:r>
    </w:p>
    <w:p w:rsidR="001E2026" w:rsidRDefault="00B162F5" w:rsidP="001E2026">
      <w:pPr>
        <w:pStyle w:val="ListParagraph"/>
        <w:numPr>
          <w:ilvl w:val="0"/>
          <w:numId w:val="17"/>
        </w:numPr>
        <w:ind w:left="1440"/>
        <w:rPr>
          <w:rFonts w:ascii="Verdana" w:hAnsi="Verdana" w:cs="Arial"/>
          <w:color w:val="000000"/>
          <w:sz w:val="21"/>
          <w:szCs w:val="21"/>
        </w:rPr>
      </w:pPr>
      <w:r w:rsidRPr="001E2026">
        <w:rPr>
          <w:rFonts w:ascii="Verdana" w:hAnsi="Verdana" w:cs="Arial"/>
          <w:b/>
          <w:bCs/>
          <w:color w:val="000000"/>
          <w:sz w:val="21"/>
          <w:szCs w:val="21"/>
        </w:rPr>
        <w:t>M</w:t>
      </w:r>
      <w:r w:rsidR="00C54E93" w:rsidRPr="001E2026">
        <w:rPr>
          <w:rFonts w:ascii="Verdana" w:hAnsi="Verdana" w:cs="Arial"/>
          <w:b/>
          <w:bCs/>
          <w:color w:val="000000"/>
          <w:sz w:val="21"/>
          <w:szCs w:val="21"/>
        </w:rPr>
        <w:t xml:space="preserve">odify the report adding a program/subprogram </w:t>
      </w:r>
      <w:r w:rsidR="00C54E93" w:rsidRPr="001E2026">
        <w:rPr>
          <w:rFonts w:ascii="Verdana" w:hAnsi="Verdana" w:cs="Arial"/>
          <w:color w:val="000000"/>
          <w:sz w:val="21"/>
          <w:szCs w:val="21"/>
        </w:rPr>
        <w:t>(such as Risk of Harm) with a finding of “</w:t>
      </w:r>
      <w:r w:rsidR="00C54E93" w:rsidRPr="001E2026">
        <w:rPr>
          <w:rFonts w:ascii="Verdana" w:hAnsi="Verdana" w:cs="Arial"/>
          <w:b/>
          <w:bCs/>
          <w:color w:val="000000"/>
          <w:sz w:val="21"/>
          <w:szCs w:val="21"/>
        </w:rPr>
        <w:t>Services Needed</w:t>
      </w:r>
      <w:r w:rsidRPr="001E2026">
        <w:rPr>
          <w:rFonts w:ascii="Verdana" w:hAnsi="Verdana" w:cs="Arial"/>
          <w:bCs/>
          <w:color w:val="000000"/>
          <w:sz w:val="21"/>
          <w:szCs w:val="21"/>
        </w:rPr>
        <w:t>;</w:t>
      </w:r>
      <w:r w:rsidR="00C54E93" w:rsidRPr="001E2026">
        <w:rPr>
          <w:rFonts w:ascii="Verdana" w:hAnsi="Verdana" w:cs="Arial"/>
          <w:color w:val="000000"/>
          <w:sz w:val="21"/>
          <w:szCs w:val="21"/>
        </w:rPr>
        <w:t>”</w:t>
      </w:r>
      <w:r w:rsidRPr="001E2026">
        <w:rPr>
          <w:rFonts w:ascii="Verdana" w:hAnsi="Verdana" w:cs="Arial"/>
          <w:color w:val="000000"/>
          <w:sz w:val="21"/>
          <w:szCs w:val="21"/>
        </w:rPr>
        <w:t xml:space="preserve"> then</w:t>
      </w:r>
    </w:p>
    <w:p w:rsidR="001E2026" w:rsidRDefault="00B162F5" w:rsidP="001E2026">
      <w:pPr>
        <w:pStyle w:val="ListParagraph"/>
        <w:numPr>
          <w:ilvl w:val="0"/>
          <w:numId w:val="17"/>
        </w:numPr>
        <w:ind w:left="1440"/>
        <w:rPr>
          <w:rFonts w:ascii="Verdana" w:hAnsi="Verdana" w:cs="Arial"/>
          <w:color w:val="000000"/>
          <w:sz w:val="21"/>
          <w:szCs w:val="21"/>
        </w:rPr>
      </w:pPr>
      <w:r w:rsidRPr="001E2026">
        <w:rPr>
          <w:rFonts w:ascii="Verdana" w:hAnsi="Verdana" w:cs="Arial"/>
          <w:color w:val="000000"/>
          <w:sz w:val="21"/>
          <w:szCs w:val="21"/>
        </w:rPr>
        <w:t>S</w:t>
      </w:r>
      <w:r w:rsidR="00C54E93" w:rsidRPr="001E2026">
        <w:rPr>
          <w:rFonts w:ascii="Verdana" w:hAnsi="Verdana" w:cs="Arial"/>
          <w:color w:val="000000"/>
          <w:sz w:val="21"/>
          <w:szCs w:val="21"/>
        </w:rPr>
        <w:t>elect “</w:t>
      </w:r>
      <w:r w:rsidR="00C54E93" w:rsidRPr="001E2026">
        <w:rPr>
          <w:rFonts w:ascii="Verdana" w:hAnsi="Verdana" w:cs="Arial"/>
          <w:b/>
          <w:bCs/>
          <w:color w:val="000000"/>
          <w:sz w:val="21"/>
          <w:szCs w:val="21"/>
        </w:rPr>
        <w:t>In home ongoing case</w:t>
      </w:r>
      <w:r w:rsidRPr="001E2026">
        <w:rPr>
          <w:rFonts w:ascii="Verdana" w:hAnsi="Verdana" w:cs="Arial"/>
          <w:bCs/>
          <w:color w:val="000000"/>
          <w:sz w:val="21"/>
          <w:szCs w:val="21"/>
        </w:rPr>
        <w:t>.</w:t>
      </w:r>
      <w:r w:rsidR="00C54E93" w:rsidRPr="001E2026">
        <w:rPr>
          <w:rFonts w:ascii="Verdana" w:hAnsi="Verdana" w:cs="Arial"/>
          <w:b/>
          <w:bCs/>
          <w:color w:val="000000"/>
          <w:sz w:val="21"/>
          <w:szCs w:val="21"/>
        </w:rPr>
        <w:t>”</w:t>
      </w:r>
      <w:r w:rsidR="00C54E93" w:rsidRPr="001E2026">
        <w:rPr>
          <w:rFonts w:ascii="Verdana" w:hAnsi="Verdana" w:cs="Arial"/>
          <w:color w:val="000000"/>
          <w:sz w:val="21"/>
          <w:szCs w:val="21"/>
        </w:rPr>
        <w:t xml:space="preserve"> </w:t>
      </w:r>
    </w:p>
    <w:p w:rsidR="001E2026" w:rsidRDefault="00C54E93" w:rsidP="001E2026">
      <w:pPr>
        <w:pStyle w:val="ListParagraph"/>
        <w:numPr>
          <w:ilvl w:val="0"/>
          <w:numId w:val="17"/>
        </w:numPr>
        <w:ind w:left="1440"/>
        <w:rPr>
          <w:rFonts w:ascii="Verdana" w:hAnsi="Verdana" w:cs="Arial"/>
          <w:color w:val="000000"/>
          <w:sz w:val="21"/>
          <w:szCs w:val="21"/>
        </w:rPr>
      </w:pPr>
      <w:r w:rsidRPr="001E2026">
        <w:rPr>
          <w:rFonts w:ascii="Verdana" w:hAnsi="Verdana" w:cs="Arial"/>
          <w:color w:val="000000"/>
          <w:sz w:val="21"/>
          <w:szCs w:val="21"/>
        </w:rPr>
        <w:t xml:space="preserve">After </w:t>
      </w:r>
      <w:r w:rsidR="00B162F5" w:rsidRPr="001E2026">
        <w:rPr>
          <w:rFonts w:ascii="Verdana" w:hAnsi="Verdana" w:cs="Arial"/>
          <w:color w:val="000000"/>
          <w:sz w:val="21"/>
          <w:szCs w:val="21"/>
        </w:rPr>
        <w:t>the</w:t>
      </w:r>
      <w:r w:rsidRPr="001E2026">
        <w:rPr>
          <w:rFonts w:ascii="Verdana" w:hAnsi="Verdana" w:cs="Arial"/>
          <w:color w:val="000000"/>
          <w:sz w:val="21"/>
          <w:szCs w:val="21"/>
        </w:rPr>
        <w:t xml:space="preserve"> assessment is submitted and approved, </w:t>
      </w:r>
      <w:r w:rsidR="00B162F5" w:rsidRPr="001E2026">
        <w:rPr>
          <w:rFonts w:ascii="Verdana" w:hAnsi="Verdana" w:cs="Arial"/>
          <w:color w:val="000000"/>
          <w:sz w:val="21"/>
          <w:szCs w:val="21"/>
        </w:rPr>
        <w:t>the</w:t>
      </w:r>
      <w:r w:rsidRPr="001E2026">
        <w:rPr>
          <w:rFonts w:ascii="Verdana" w:hAnsi="Verdana" w:cs="Arial"/>
          <w:color w:val="000000"/>
          <w:sz w:val="21"/>
          <w:szCs w:val="21"/>
        </w:rPr>
        <w:t xml:space="preserve"> case will remain open in the ongoing function.  </w:t>
      </w:r>
    </w:p>
    <w:p w:rsidR="00C54E93" w:rsidRDefault="00B162F5" w:rsidP="00846EBF">
      <w:pPr>
        <w:ind w:left="1080"/>
        <w:rPr>
          <w:rFonts w:ascii="Verdana" w:hAnsi="Verdana" w:cs="Arial"/>
          <w:color w:val="000000"/>
          <w:sz w:val="21"/>
          <w:szCs w:val="21"/>
        </w:rPr>
      </w:pPr>
      <w:r w:rsidRPr="00846EBF">
        <w:rPr>
          <w:rFonts w:ascii="Verdana" w:hAnsi="Verdana" w:cs="Arial"/>
          <w:color w:val="000000"/>
          <w:sz w:val="21"/>
          <w:szCs w:val="21"/>
        </w:rPr>
        <w:t>Please be aware that t</w:t>
      </w:r>
      <w:r w:rsidR="00C54E93" w:rsidRPr="00846EBF">
        <w:rPr>
          <w:rFonts w:ascii="Verdana" w:hAnsi="Verdana" w:cs="Arial"/>
          <w:color w:val="000000"/>
          <w:sz w:val="21"/>
          <w:szCs w:val="21"/>
        </w:rPr>
        <w:t>he “</w:t>
      </w:r>
      <w:r w:rsidR="00C54E93" w:rsidRPr="00846EBF">
        <w:rPr>
          <w:rFonts w:ascii="Verdana" w:hAnsi="Verdana" w:cs="Arial"/>
          <w:b/>
          <w:color w:val="000000"/>
          <w:sz w:val="21"/>
          <w:szCs w:val="21"/>
        </w:rPr>
        <w:t>OUT OF HOME CARE-Placement</w:t>
      </w:r>
      <w:r w:rsidR="00C54E93" w:rsidRPr="00846EBF">
        <w:rPr>
          <w:rFonts w:ascii="Verdana" w:hAnsi="Verdana" w:cs="Arial"/>
          <w:color w:val="000000"/>
          <w:sz w:val="21"/>
          <w:szCs w:val="21"/>
        </w:rPr>
        <w:t xml:space="preserve">” program/subprogram is not enough for the case to </w:t>
      </w:r>
      <w:r w:rsidR="00CC39DF" w:rsidRPr="00846EBF">
        <w:rPr>
          <w:rFonts w:ascii="Verdana" w:hAnsi="Verdana" w:cs="Arial"/>
          <w:color w:val="000000"/>
          <w:sz w:val="21"/>
          <w:szCs w:val="21"/>
        </w:rPr>
        <w:t>remain open in ongoing function</w:t>
      </w:r>
      <w:r w:rsidRPr="00846EBF">
        <w:rPr>
          <w:rFonts w:ascii="Verdana" w:hAnsi="Verdana" w:cs="Arial"/>
          <w:color w:val="000000"/>
          <w:sz w:val="21"/>
          <w:szCs w:val="21"/>
        </w:rPr>
        <w:t>,</w:t>
      </w:r>
      <w:r w:rsidR="00C54E93" w:rsidRPr="00846EBF">
        <w:rPr>
          <w:rFonts w:ascii="Verdana" w:hAnsi="Verdana" w:cs="Arial"/>
          <w:color w:val="000000"/>
          <w:sz w:val="21"/>
          <w:szCs w:val="21"/>
        </w:rPr>
        <w:t xml:space="preserve"> and be considered a “</w:t>
      </w:r>
      <w:r w:rsidR="00C54E93" w:rsidRPr="00846EBF">
        <w:rPr>
          <w:rFonts w:ascii="Verdana" w:hAnsi="Verdana" w:cs="Arial"/>
          <w:b/>
          <w:color w:val="000000"/>
          <w:sz w:val="21"/>
          <w:szCs w:val="21"/>
        </w:rPr>
        <w:t>true ongoing case</w:t>
      </w:r>
      <w:r w:rsidR="00C54E93" w:rsidRPr="00846EBF">
        <w:rPr>
          <w:rFonts w:ascii="Verdana" w:hAnsi="Verdana" w:cs="Arial"/>
          <w:color w:val="000000"/>
          <w:sz w:val="21"/>
          <w:szCs w:val="21"/>
        </w:rPr>
        <w:t>” on the M004.  Staff must ensure that at least one other program/subprogram remains open (e.g.</w:t>
      </w:r>
      <w:r w:rsidRPr="00846EBF">
        <w:rPr>
          <w:rFonts w:ascii="Verdana" w:hAnsi="Verdana" w:cs="Arial"/>
          <w:color w:val="000000"/>
          <w:sz w:val="21"/>
          <w:szCs w:val="21"/>
        </w:rPr>
        <w:t xml:space="preserve"> </w:t>
      </w:r>
      <w:r w:rsidR="00C54E93" w:rsidRPr="00846EBF">
        <w:rPr>
          <w:rFonts w:ascii="Verdana" w:hAnsi="Verdana" w:cs="Arial"/>
          <w:color w:val="000000"/>
          <w:sz w:val="21"/>
          <w:szCs w:val="21"/>
        </w:rPr>
        <w:t>Basic Neglect-Physical-Assault, Spouse/Partner Abuse, etc.)</w:t>
      </w:r>
      <w:r w:rsidR="00CC39DF" w:rsidRPr="00846EBF">
        <w:rPr>
          <w:rFonts w:ascii="Verdana" w:hAnsi="Verdana" w:cs="Arial"/>
          <w:color w:val="000000"/>
          <w:sz w:val="21"/>
          <w:szCs w:val="21"/>
        </w:rPr>
        <w:t xml:space="preserve"> in order for the case to continue into the ongoing function</w:t>
      </w:r>
      <w:r w:rsidRPr="00846EBF">
        <w:rPr>
          <w:rFonts w:ascii="Verdana" w:hAnsi="Verdana" w:cs="Arial"/>
          <w:color w:val="000000"/>
          <w:sz w:val="21"/>
          <w:szCs w:val="21"/>
        </w:rPr>
        <w:t xml:space="preserve"> i</w:t>
      </w:r>
      <w:r w:rsidR="0061635C" w:rsidRPr="00846EBF">
        <w:rPr>
          <w:rFonts w:ascii="Verdana" w:hAnsi="Verdana" w:cs="Arial"/>
          <w:color w:val="000000"/>
          <w:sz w:val="21"/>
          <w:szCs w:val="21"/>
        </w:rPr>
        <w:t>n c</w:t>
      </w:r>
      <w:r w:rsidRPr="00846EBF">
        <w:rPr>
          <w:rFonts w:ascii="Verdana" w:hAnsi="Verdana" w:cs="Arial"/>
          <w:color w:val="000000"/>
          <w:sz w:val="21"/>
          <w:szCs w:val="21"/>
        </w:rPr>
        <w:t>-TWIST</w:t>
      </w:r>
      <w:r w:rsidR="00CC39DF" w:rsidRPr="00846EBF">
        <w:rPr>
          <w:rFonts w:ascii="Verdana" w:hAnsi="Verdana" w:cs="Arial"/>
          <w:color w:val="000000"/>
          <w:sz w:val="21"/>
          <w:szCs w:val="21"/>
        </w:rPr>
        <w:t xml:space="preserve">.  </w:t>
      </w:r>
    </w:p>
    <w:p w:rsidR="00846EBF" w:rsidRDefault="00846EBF" w:rsidP="00846EBF">
      <w:pPr>
        <w:ind w:left="1080"/>
        <w:rPr>
          <w:rFonts w:ascii="Verdana" w:hAnsi="Verdana" w:cs="Arial"/>
          <w:color w:val="000000"/>
          <w:sz w:val="21"/>
          <w:szCs w:val="21"/>
        </w:rPr>
      </w:pPr>
    </w:p>
    <w:p w:rsidR="00846EBF" w:rsidRDefault="00846EBF" w:rsidP="00846EBF">
      <w:pPr>
        <w:ind w:left="1080"/>
        <w:rPr>
          <w:rFonts w:ascii="Verdana" w:hAnsi="Verdana" w:cs="Arial"/>
          <w:color w:val="000000"/>
          <w:sz w:val="21"/>
          <w:szCs w:val="21"/>
        </w:rPr>
      </w:pPr>
    </w:p>
    <w:p w:rsidR="00846EBF" w:rsidRDefault="00846EBF" w:rsidP="00846EBF">
      <w:pPr>
        <w:ind w:left="1080"/>
        <w:rPr>
          <w:rFonts w:ascii="Verdana" w:hAnsi="Verdana" w:cs="Arial"/>
          <w:color w:val="000000"/>
          <w:sz w:val="21"/>
          <w:szCs w:val="21"/>
        </w:rPr>
      </w:pPr>
    </w:p>
    <w:p w:rsidR="00846EBF" w:rsidRPr="00846EBF" w:rsidRDefault="00846EBF" w:rsidP="00846EBF">
      <w:pPr>
        <w:ind w:left="1080"/>
        <w:rPr>
          <w:rFonts w:ascii="Verdana" w:hAnsi="Verdana" w:cs="Arial"/>
          <w:color w:val="000000"/>
          <w:sz w:val="21"/>
          <w:szCs w:val="21"/>
        </w:rPr>
      </w:pPr>
    </w:p>
    <w:p w:rsidR="001E2026" w:rsidRDefault="001E2026" w:rsidP="001E2026">
      <w:pPr>
        <w:pStyle w:val="ListParagraph"/>
        <w:numPr>
          <w:ilvl w:val="0"/>
          <w:numId w:val="19"/>
        </w:numPr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b/>
          <w:color w:val="000000"/>
          <w:sz w:val="21"/>
          <w:szCs w:val="21"/>
        </w:rPr>
        <w:t>Re-entry of an aged out youth:</w:t>
      </w:r>
      <w:r>
        <w:rPr>
          <w:rFonts w:ascii="Verdana" w:hAnsi="Verdana" w:cs="Arial"/>
          <w:color w:val="000000"/>
          <w:sz w:val="21"/>
          <w:szCs w:val="21"/>
        </w:rPr>
        <w:t xml:space="preserve">  When a youth who has formerly aged out of OOHC, decides to recommit prior to their nineteenth (19</w:t>
      </w:r>
      <w:r w:rsidRPr="001E2026">
        <w:rPr>
          <w:rFonts w:ascii="Verdana" w:hAnsi="Verdana" w:cs="Arial"/>
          <w:color w:val="000000"/>
          <w:sz w:val="21"/>
          <w:szCs w:val="21"/>
          <w:vertAlign w:val="superscript"/>
        </w:rPr>
        <w:t>th</w:t>
      </w:r>
      <w:r>
        <w:rPr>
          <w:rFonts w:ascii="Verdana" w:hAnsi="Verdana" w:cs="Arial"/>
          <w:color w:val="000000"/>
          <w:sz w:val="21"/>
          <w:szCs w:val="21"/>
        </w:rPr>
        <w:t xml:space="preserve">) birthday, please ensure that centralized intake staff follow the instructions below, to ensure that the youth is appropriately entered into TWIST: </w:t>
      </w:r>
    </w:p>
    <w:p w:rsidR="00097095" w:rsidRDefault="001E2026" w:rsidP="001E2026">
      <w:pPr>
        <w:pStyle w:val="ListParagraph"/>
        <w:numPr>
          <w:ilvl w:val="1"/>
          <w:numId w:val="19"/>
        </w:numPr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Enter the youth into the case from which they exited care, ensuring that the youth is assigned </w:t>
      </w:r>
      <w:r w:rsidR="00097095">
        <w:rPr>
          <w:rFonts w:ascii="Verdana" w:hAnsi="Verdana" w:cs="Arial"/>
          <w:color w:val="000000"/>
          <w:sz w:val="21"/>
          <w:szCs w:val="21"/>
        </w:rPr>
        <w:t>their original Individual ID number;</w:t>
      </w:r>
    </w:p>
    <w:p w:rsidR="00097095" w:rsidRDefault="00097095" w:rsidP="001E2026">
      <w:pPr>
        <w:pStyle w:val="ListParagraph"/>
        <w:numPr>
          <w:ilvl w:val="1"/>
          <w:numId w:val="19"/>
        </w:numPr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Select the “dependency” subprogram and enter the youth’s birthday in a way that indicates he/she is under the age of eighteen (18); and </w:t>
      </w:r>
    </w:p>
    <w:p w:rsidR="00097095" w:rsidRDefault="00097095" w:rsidP="001E2026">
      <w:pPr>
        <w:pStyle w:val="ListParagraph"/>
        <w:numPr>
          <w:ilvl w:val="1"/>
          <w:numId w:val="19"/>
        </w:numPr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Assign the intake to the county where the youth is currently residing.</w:t>
      </w:r>
    </w:p>
    <w:p w:rsidR="00097095" w:rsidRDefault="00097095" w:rsidP="00097095">
      <w:pPr>
        <w:pStyle w:val="ListParagraph"/>
        <w:rPr>
          <w:rFonts w:ascii="Verdana" w:hAnsi="Verdana" w:cs="Arial"/>
          <w:color w:val="000000"/>
          <w:sz w:val="21"/>
          <w:szCs w:val="21"/>
        </w:rPr>
      </w:pPr>
    </w:p>
    <w:p w:rsidR="00097095" w:rsidRDefault="00097095" w:rsidP="00097095">
      <w:pPr>
        <w:pStyle w:val="ListParagrap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Once the case moves from intake to investigation, the SSW assigned to the investigation: </w:t>
      </w:r>
    </w:p>
    <w:p w:rsidR="001E2026" w:rsidRDefault="00097095" w:rsidP="00097095">
      <w:pPr>
        <w:pStyle w:val="ListParagraph"/>
        <w:numPr>
          <w:ilvl w:val="0"/>
          <w:numId w:val="21"/>
        </w:numPr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Completes the Enter/Exit screens; and </w:t>
      </w:r>
    </w:p>
    <w:p w:rsidR="00097095" w:rsidRPr="001E2026" w:rsidRDefault="00097095" w:rsidP="00097095">
      <w:pPr>
        <w:pStyle w:val="ListParagraph"/>
        <w:numPr>
          <w:ilvl w:val="0"/>
          <w:numId w:val="21"/>
        </w:numPr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Corrects the youth’s date of birth to reflect his/her accurate age. </w:t>
      </w:r>
    </w:p>
    <w:p w:rsidR="00CC39DF" w:rsidRPr="0075336E" w:rsidRDefault="00CC39DF" w:rsidP="00C54E93">
      <w:pPr>
        <w:rPr>
          <w:rFonts w:ascii="Verdana" w:hAnsi="Verdana" w:cs="Arial"/>
          <w:color w:val="000000"/>
          <w:sz w:val="21"/>
          <w:szCs w:val="21"/>
        </w:rPr>
      </w:pPr>
    </w:p>
    <w:p w:rsidR="00CC39DF" w:rsidRPr="0075336E" w:rsidRDefault="00CC39DF" w:rsidP="00C54E93">
      <w:pPr>
        <w:rPr>
          <w:rFonts w:ascii="Verdana" w:hAnsi="Verdana" w:cs="Arial"/>
          <w:color w:val="000000"/>
          <w:sz w:val="21"/>
          <w:szCs w:val="21"/>
        </w:rPr>
      </w:pPr>
      <w:r w:rsidRPr="0075336E">
        <w:rPr>
          <w:rFonts w:ascii="Verdana" w:hAnsi="Verdana" w:cs="Arial"/>
          <w:color w:val="000000"/>
          <w:sz w:val="21"/>
          <w:szCs w:val="21"/>
        </w:rPr>
        <w:t>If you have any</w:t>
      </w:r>
      <w:r w:rsidR="00846EBF">
        <w:rPr>
          <w:rFonts w:ascii="Verdana" w:hAnsi="Verdana" w:cs="Arial"/>
          <w:color w:val="000000"/>
          <w:sz w:val="21"/>
          <w:szCs w:val="21"/>
        </w:rPr>
        <w:t xml:space="preserve"> questions regarding moving a case to the ongoing function</w:t>
      </w:r>
      <w:r w:rsidRPr="0075336E">
        <w:rPr>
          <w:rFonts w:ascii="Verdana" w:hAnsi="Verdana" w:cs="Arial"/>
          <w:color w:val="000000"/>
          <w:sz w:val="21"/>
          <w:szCs w:val="21"/>
        </w:rPr>
        <w:t xml:space="preserve">, please contact:  </w:t>
      </w:r>
    </w:p>
    <w:p w:rsidR="00B162F5" w:rsidRDefault="00B162F5" w:rsidP="00C54E93">
      <w:pPr>
        <w:rPr>
          <w:rFonts w:ascii="Verdana" w:hAnsi="Verdana" w:cs="Arial"/>
          <w:color w:val="000000"/>
          <w:sz w:val="21"/>
          <w:szCs w:val="21"/>
        </w:rPr>
      </w:pPr>
    </w:p>
    <w:p w:rsidR="00B162F5" w:rsidRDefault="00CC39DF" w:rsidP="00C54E93">
      <w:pPr>
        <w:rPr>
          <w:rFonts w:ascii="Verdana" w:hAnsi="Verdana" w:cs="Arial"/>
          <w:color w:val="000000"/>
          <w:sz w:val="21"/>
          <w:szCs w:val="21"/>
        </w:rPr>
      </w:pPr>
      <w:r w:rsidRPr="0075336E">
        <w:rPr>
          <w:rFonts w:ascii="Verdana" w:hAnsi="Verdana" w:cs="Arial"/>
          <w:color w:val="000000"/>
          <w:sz w:val="21"/>
          <w:szCs w:val="21"/>
        </w:rPr>
        <w:t xml:space="preserve">Tracy </w:t>
      </w:r>
      <w:proofErr w:type="spellStart"/>
      <w:r w:rsidRPr="0075336E">
        <w:rPr>
          <w:rFonts w:ascii="Verdana" w:hAnsi="Verdana" w:cs="Arial"/>
          <w:color w:val="000000"/>
          <w:sz w:val="21"/>
          <w:szCs w:val="21"/>
        </w:rPr>
        <w:t>DeSimone</w:t>
      </w:r>
      <w:proofErr w:type="spellEnd"/>
      <w:r w:rsidR="00846EBF">
        <w:rPr>
          <w:rFonts w:ascii="Verdana" w:hAnsi="Verdana" w:cs="Arial"/>
          <w:color w:val="000000"/>
          <w:sz w:val="21"/>
          <w:szCs w:val="21"/>
        </w:rPr>
        <w:t>, Quality Assurance and Policy Development (QAPD)</w:t>
      </w:r>
    </w:p>
    <w:p w:rsidR="00B162F5" w:rsidRDefault="007B68E1" w:rsidP="00C54E93">
      <w:pPr>
        <w:rPr>
          <w:rFonts w:ascii="Verdana" w:hAnsi="Verdana" w:cs="Arial"/>
          <w:color w:val="000000"/>
          <w:sz w:val="21"/>
          <w:szCs w:val="21"/>
        </w:rPr>
      </w:pPr>
      <w:hyperlink r:id="rId11" w:history="1">
        <w:r w:rsidR="00B162F5" w:rsidRPr="007028C6">
          <w:rPr>
            <w:rStyle w:val="Hyperlink"/>
            <w:rFonts w:ascii="Verdana" w:hAnsi="Verdana" w:cs="Arial"/>
            <w:sz w:val="21"/>
            <w:szCs w:val="21"/>
          </w:rPr>
          <w:t>Tracy.desimone@ky.gov</w:t>
        </w:r>
      </w:hyperlink>
    </w:p>
    <w:p w:rsidR="00B162F5" w:rsidRDefault="000A738C" w:rsidP="00C54E93">
      <w:pPr>
        <w:rPr>
          <w:rFonts w:ascii="Verdana" w:hAnsi="Verdana" w:cs="Arial"/>
          <w:color w:val="000000"/>
          <w:sz w:val="21"/>
          <w:szCs w:val="21"/>
        </w:rPr>
      </w:pPr>
      <w:r w:rsidRPr="00D52E1D">
        <w:rPr>
          <w:rFonts w:ascii="Verdana" w:hAnsi="Verdana" w:cs="Arial"/>
          <w:color w:val="000000"/>
          <w:sz w:val="21"/>
          <w:szCs w:val="21"/>
        </w:rPr>
        <w:t>(</w:t>
      </w:r>
      <w:r w:rsidR="00B162F5" w:rsidRPr="00D52E1D">
        <w:rPr>
          <w:rFonts w:ascii="Verdana" w:hAnsi="Verdana" w:cs="Arial"/>
          <w:color w:val="000000"/>
          <w:sz w:val="21"/>
          <w:szCs w:val="21"/>
        </w:rPr>
        <w:t>502</w:t>
      </w:r>
      <w:r w:rsidR="00B162F5">
        <w:rPr>
          <w:rFonts w:ascii="Verdana" w:hAnsi="Verdana" w:cs="Arial"/>
          <w:color w:val="000000"/>
          <w:sz w:val="21"/>
          <w:szCs w:val="21"/>
        </w:rPr>
        <w:t>) 564-7635, ext. 3571</w:t>
      </w:r>
    </w:p>
    <w:p w:rsidR="00B162F5" w:rsidRDefault="00B162F5" w:rsidP="00C54E93">
      <w:pPr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O</w:t>
      </w:r>
      <w:r w:rsidR="00CC39DF" w:rsidRPr="0075336E">
        <w:rPr>
          <w:rFonts w:ascii="Verdana" w:hAnsi="Verdana" w:cs="Arial"/>
          <w:color w:val="000000"/>
          <w:sz w:val="21"/>
          <w:szCs w:val="21"/>
        </w:rPr>
        <w:t xml:space="preserve">r </w:t>
      </w:r>
    </w:p>
    <w:p w:rsidR="00CC39DF" w:rsidRDefault="00CC39DF" w:rsidP="00C54E93">
      <w:pPr>
        <w:rPr>
          <w:rFonts w:ascii="Verdana" w:hAnsi="Verdana" w:cs="Arial"/>
          <w:color w:val="000000"/>
          <w:sz w:val="21"/>
          <w:szCs w:val="21"/>
        </w:rPr>
      </w:pPr>
      <w:r w:rsidRPr="0075336E">
        <w:rPr>
          <w:rFonts w:ascii="Verdana" w:hAnsi="Verdana" w:cs="Arial"/>
          <w:color w:val="000000"/>
          <w:sz w:val="21"/>
          <w:szCs w:val="21"/>
        </w:rPr>
        <w:t>Gretchen Marshall</w:t>
      </w:r>
      <w:r w:rsidR="00846EBF">
        <w:rPr>
          <w:rFonts w:ascii="Verdana" w:hAnsi="Verdana" w:cs="Arial"/>
          <w:color w:val="000000"/>
          <w:sz w:val="21"/>
          <w:szCs w:val="21"/>
        </w:rPr>
        <w:t>, QAPD Branch Manager</w:t>
      </w:r>
    </w:p>
    <w:p w:rsidR="00B162F5" w:rsidRDefault="007B68E1" w:rsidP="00C54E93">
      <w:pPr>
        <w:rPr>
          <w:rFonts w:ascii="Verdana" w:hAnsi="Verdana" w:cs="Arial"/>
          <w:color w:val="000000"/>
          <w:sz w:val="21"/>
          <w:szCs w:val="21"/>
        </w:rPr>
      </w:pPr>
      <w:hyperlink r:id="rId12" w:history="1">
        <w:r w:rsidR="00B162F5" w:rsidRPr="007028C6">
          <w:rPr>
            <w:rStyle w:val="Hyperlink"/>
            <w:rFonts w:ascii="Verdana" w:hAnsi="Verdana" w:cs="Arial"/>
            <w:sz w:val="21"/>
            <w:szCs w:val="21"/>
          </w:rPr>
          <w:t>Gretchen.marshall@ky.gov</w:t>
        </w:r>
      </w:hyperlink>
    </w:p>
    <w:p w:rsidR="00B162F5" w:rsidRDefault="00B162F5" w:rsidP="00C54E93">
      <w:pPr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(502) 564-7635, ext. 3587</w:t>
      </w:r>
    </w:p>
    <w:p w:rsidR="00846EBF" w:rsidRDefault="00846EBF" w:rsidP="00C54E93">
      <w:pPr>
        <w:rPr>
          <w:rFonts w:ascii="Verdana" w:hAnsi="Verdana" w:cs="Arial"/>
          <w:color w:val="000000"/>
          <w:sz w:val="21"/>
          <w:szCs w:val="21"/>
        </w:rPr>
      </w:pPr>
    </w:p>
    <w:p w:rsidR="00846EBF" w:rsidRPr="0075336E" w:rsidRDefault="00846EBF" w:rsidP="00C54E93">
      <w:pPr>
        <w:rPr>
          <w:rFonts w:ascii="Verdana" w:hAnsi="Verdana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If you have any questions regarding re-entry of </w:t>
      </w:r>
      <w:proofErr w:type="spellStart"/>
      <w:proofErr w:type="gramStart"/>
      <w:r>
        <w:rPr>
          <w:rFonts w:ascii="Verdana" w:hAnsi="Verdana" w:cs="Arial"/>
          <w:color w:val="000000"/>
          <w:sz w:val="21"/>
          <w:szCs w:val="21"/>
        </w:rPr>
        <w:t>a</w:t>
      </w:r>
      <w:r w:rsidR="004346C1">
        <w:rPr>
          <w:rFonts w:ascii="Verdana" w:hAnsi="Verdana" w:cs="Arial"/>
          <w:color w:val="000000"/>
          <w:sz w:val="21"/>
          <w:szCs w:val="21"/>
        </w:rPr>
        <w:t>`</w:t>
      </w:r>
      <w:proofErr w:type="gramEnd"/>
      <w:r>
        <w:rPr>
          <w:rFonts w:ascii="Verdana" w:hAnsi="Verdana" w:cs="Arial"/>
          <w:color w:val="000000"/>
          <w:sz w:val="21"/>
          <w:szCs w:val="21"/>
        </w:rPr>
        <w:t>n</w:t>
      </w:r>
      <w:proofErr w:type="spellEnd"/>
      <w:r>
        <w:rPr>
          <w:rFonts w:ascii="Verdana" w:hAnsi="Verdana" w:cs="Arial"/>
          <w:color w:val="000000"/>
          <w:sz w:val="21"/>
          <w:szCs w:val="21"/>
        </w:rPr>
        <w:t xml:space="preserve"> aged out youth into TWIST, please contact Gretchen Marshall. </w:t>
      </w:r>
    </w:p>
    <w:sectPr w:rsidR="00846EBF" w:rsidRPr="0075336E" w:rsidSect="00823EA5">
      <w:headerReference w:type="first" r:id="rId13"/>
      <w:footerReference w:type="first" r:id="rId14"/>
      <w:pgSz w:w="12240" w:h="15840" w:code="1"/>
      <w:pgMar w:top="1008" w:right="965" w:bottom="907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D6" w:rsidRDefault="002002D6">
      <w:r>
        <w:separator/>
      </w:r>
    </w:p>
  </w:endnote>
  <w:endnote w:type="continuationSeparator" w:id="0">
    <w:p w:rsidR="002002D6" w:rsidRDefault="0020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1010C" wp14:editId="5E31CD6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C419BE4" wp14:editId="3C065398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C419BE4" wp14:editId="3C065398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D6" w:rsidRDefault="002002D6">
      <w:r>
        <w:separator/>
      </w:r>
    </w:p>
  </w:footnote>
  <w:footnote w:type="continuationSeparator" w:id="0">
    <w:p w:rsidR="002002D6" w:rsidRDefault="0020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195804" wp14:editId="1F524F92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FCB58F1" wp14:editId="771FE10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07B9D5" wp14:editId="4C70EB6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FCB58F1" wp14:editId="771FE10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D07B9D5" wp14:editId="4C70EB6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35DC5" wp14:editId="68F11E3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>Steven L. Beshear</w:t>
    </w:r>
    <w:r>
      <w:tab/>
    </w:r>
    <w:r w:rsidR="00DE77E4">
      <w:t xml:space="preserve">              </w:t>
    </w:r>
    <w:r w:rsidR="0069732D">
      <w:t xml:space="preserve">       Audrey Tayse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ED4"/>
    <w:multiLevelType w:val="hybridMultilevel"/>
    <w:tmpl w:val="0EBA6CFA"/>
    <w:lvl w:ilvl="0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0B54"/>
    <w:multiLevelType w:val="hybridMultilevel"/>
    <w:tmpl w:val="01766A3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75583"/>
    <w:multiLevelType w:val="hybridMultilevel"/>
    <w:tmpl w:val="7F64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8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96C55"/>
    <w:multiLevelType w:val="hybridMultilevel"/>
    <w:tmpl w:val="71D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A55FC"/>
    <w:multiLevelType w:val="hybridMultilevel"/>
    <w:tmpl w:val="E416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754E66"/>
    <w:multiLevelType w:val="hybridMultilevel"/>
    <w:tmpl w:val="D626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A54B9B"/>
    <w:multiLevelType w:val="hybridMultilevel"/>
    <w:tmpl w:val="D4EE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047E5"/>
    <w:multiLevelType w:val="hybridMultilevel"/>
    <w:tmpl w:val="DD3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"/>
  </w:num>
  <w:num w:numId="5">
    <w:abstractNumId w:val="18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1"/>
  </w:num>
  <w:num w:numId="11">
    <w:abstractNumId w:val="9"/>
  </w:num>
  <w:num w:numId="12">
    <w:abstractNumId w:val="17"/>
  </w:num>
  <w:num w:numId="13">
    <w:abstractNumId w:val="7"/>
  </w:num>
  <w:num w:numId="14">
    <w:abstractNumId w:val="5"/>
  </w:num>
  <w:num w:numId="15">
    <w:abstractNumId w:val="10"/>
  </w:num>
  <w:num w:numId="16">
    <w:abstractNumId w:val="20"/>
  </w:num>
  <w:num w:numId="17">
    <w:abstractNumId w:val="3"/>
  </w:num>
  <w:num w:numId="18">
    <w:abstractNumId w:val="11"/>
  </w:num>
  <w:num w:numId="19">
    <w:abstractNumId w:val="1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97095"/>
    <w:rsid w:val="000A738C"/>
    <w:rsid w:val="000C65CA"/>
    <w:rsid w:val="000D26FF"/>
    <w:rsid w:val="000D68D5"/>
    <w:rsid w:val="000E3849"/>
    <w:rsid w:val="000E6D79"/>
    <w:rsid w:val="000F31AC"/>
    <w:rsid w:val="00130405"/>
    <w:rsid w:val="00164F21"/>
    <w:rsid w:val="0017490F"/>
    <w:rsid w:val="00191703"/>
    <w:rsid w:val="001934E5"/>
    <w:rsid w:val="001A79F3"/>
    <w:rsid w:val="001B6C3C"/>
    <w:rsid w:val="001D6A40"/>
    <w:rsid w:val="001E2026"/>
    <w:rsid w:val="001F3FE8"/>
    <w:rsid w:val="002002D6"/>
    <w:rsid w:val="00202F1C"/>
    <w:rsid w:val="00220749"/>
    <w:rsid w:val="002257A4"/>
    <w:rsid w:val="00225B33"/>
    <w:rsid w:val="00227F3F"/>
    <w:rsid w:val="00237F32"/>
    <w:rsid w:val="0024483B"/>
    <w:rsid w:val="00280D26"/>
    <w:rsid w:val="00280D3D"/>
    <w:rsid w:val="002B19FB"/>
    <w:rsid w:val="002C690C"/>
    <w:rsid w:val="002D29D3"/>
    <w:rsid w:val="002D5CBA"/>
    <w:rsid w:val="002E26B7"/>
    <w:rsid w:val="002E617B"/>
    <w:rsid w:val="0030161C"/>
    <w:rsid w:val="0030611C"/>
    <w:rsid w:val="003134FB"/>
    <w:rsid w:val="00314852"/>
    <w:rsid w:val="00322E22"/>
    <w:rsid w:val="00344CC9"/>
    <w:rsid w:val="003758DD"/>
    <w:rsid w:val="00387552"/>
    <w:rsid w:val="00397097"/>
    <w:rsid w:val="003C0AEC"/>
    <w:rsid w:val="003C10B5"/>
    <w:rsid w:val="003C5712"/>
    <w:rsid w:val="003D0FFF"/>
    <w:rsid w:val="003D1987"/>
    <w:rsid w:val="003D4279"/>
    <w:rsid w:val="003D5657"/>
    <w:rsid w:val="003F166A"/>
    <w:rsid w:val="004062E2"/>
    <w:rsid w:val="00411694"/>
    <w:rsid w:val="00427A0E"/>
    <w:rsid w:val="004346C1"/>
    <w:rsid w:val="00436673"/>
    <w:rsid w:val="00447085"/>
    <w:rsid w:val="004574CC"/>
    <w:rsid w:val="004A082C"/>
    <w:rsid w:val="004A3652"/>
    <w:rsid w:val="005135DD"/>
    <w:rsid w:val="0052108B"/>
    <w:rsid w:val="00524DAE"/>
    <w:rsid w:val="00532EBB"/>
    <w:rsid w:val="0053735F"/>
    <w:rsid w:val="00541EA0"/>
    <w:rsid w:val="005432CE"/>
    <w:rsid w:val="005524AC"/>
    <w:rsid w:val="00560F32"/>
    <w:rsid w:val="00565AE9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1635C"/>
    <w:rsid w:val="00626F38"/>
    <w:rsid w:val="00633FA6"/>
    <w:rsid w:val="0063467E"/>
    <w:rsid w:val="00642A9D"/>
    <w:rsid w:val="00645985"/>
    <w:rsid w:val="0066589B"/>
    <w:rsid w:val="0068667E"/>
    <w:rsid w:val="0069732D"/>
    <w:rsid w:val="006A7CD8"/>
    <w:rsid w:val="006B2951"/>
    <w:rsid w:val="006B3577"/>
    <w:rsid w:val="006C43DA"/>
    <w:rsid w:val="006C76F7"/>
    <w:rsid w:val="006E13C9"/>
    <w:rsid w:val="007171EB"/>
    <w:rsid w:val="0075336E"/>
    <w:rsid w:val="00792735"/>
    <w:rsid w:val="00797852"/>
    <w:rsid w:val="007A0FC9"/>
    <w:rsid w:val="007A2388"/>
    <w:rsid w:val="007B16CD"/>
    <w:rsid w:val="007B68E1"/>
    <w:rsid w:val="007C6486"/>
    <w:rsid w:val="007D217B"/>
    <w:rsid w:val="007F42F7"/>
    <w:rsid w:val="007F5F6E"/>
    <w:rsid w:val="00807089"/>
    <w:rsid w:val="0081658E"/>
    <w:rsid w:val="00823EA5"/>
    <w:rsid w:val="00841387"/>
    <w:rsid w:val="00846EBF"/>
    <w:rsid w:val="00867DE4"/>
    <w:rsid w:val="008A33B7"/>
    <w:rsid w:val="008A414C"/>
    <w:rsid w:val="008B7EFF"/>
    <w:rsid w:val="008C09F2"/>
    <w:rsid w:val="008D02D6"/>
    <w:rsid w:val="008D6F4E"/>
    <w:rsid w:val="00923E87"/>
    <w:rsid w:val="00924D99"/>
    <w:rsid w:val="009317D4"/>
    <w:rsid w:val="00932A01"/>
    <w:rsid w:val="00954677"/>
    <w:rsid w:val="00963F73"/>
    <w:rsid w:val="009651EB"/>
    <w:rsid w:val="00966E9F"/>
    <w:rsid w:val="00992582"/>
    <w:rsid w:val="009B40EE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62B6A"/>
    <w:rsid w:val="00A73643"/>
    <w:rsid w:val="00AA1E65"/>
    <w:rsid w:val="00AC036F"/>
    <w:rsid w:val="00AE21C3"/>
    <w:rsid w:val="00AF18AA"/>
    <w:rsid w:val="00B162F5"/>
    <w:rsid w:val="00B33CC2"/>
    <w:rsid w:val="00B364EA"/>
    <w:rsid w:val="00B428A3"/>
    <w:rsid w:val="00B434D8"/>
    <w:rsid w:val="00B56175"/>
    <w:rsid w:val="00B56785"/>
    <w:rsid w:val="00B82F96"/>
    <w:rsid w:val="00B85E7C"/>
    <w:rsid w:val="00BA176E"/>
    <w:rsid w:val="00BB729B"/>
    <w:rsid w:val="00BC21CE"/>
    <w:rsid w:val="00BC3AD0"/>
    <w:rsid w:val="00BC67F5"/>
    <w:rsid w:val="00BE6B02"/>
    <w:rsid w:val="00BE7253"/>
    <w:rsid w:val="00BF1D9F"/>
    <w:rsid w:val="00BF3A23"/>
    <w:rsid w:val="00C10849"/>
    <w:rsid w:val="00C1319F"/>
    <w:rsid w:val="00C54E93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C39DF"/>
    <w:rsid w:val="00CD13E7"/>
    <w:rsid w:val="00D02EA4"/>
    <w:rsid w:val="00D03318"/>
    <w:rsid w:val="00D03565"/>
    <w:rsid w:val="00D070A4"/>
    <w:rsid w:val="00D351DF"/>
    <w:rsid w:val="00D3596D"/>
    <w:rsid w:val="00D52E1D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A6263"/>
    <w:rsid w:val="00DB0D30"/>
    <w:rsid w:val="00DB2256"/>
    <w:rsid w:val="00DC5220"/>
    <w:rsid w:val="00DD0743"/>
    <w:rsid w:val="00DE77E4"/>
    <w:rsid w:val="00DF3E1E"/>
    <w:rsid w:val="00DF68FF"/>
    <w:rsid w:val="00E00828"/>
    <w:rsid w:val="00E20432"/>
    <w:rsid w:val="00E265A8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E34D6"/>
    <w:rsid w:val="00EF487B"/>
    <w:rsid w:val="00EF7BE0"/>
    <w:rsid w:val="00F0079B"/>
    <w:rsid w:val="00F035C1"/>
    <w:rsid w:val="00F24449"/>
    <w:rsid w:val="00F27813"/>
    <w:rsid w:val="00F30990"/>
    <w:rsid w:val="00F30C9C"/>
    <w:rsid w:val="00F36945"/>
    <w:rsid w:val="00F70416"/>
    <w:rsid w:val="00F9455E"/>
    <w:rsid w:val="00FA4B21"/>
    <w:rsid w:val="00FC2049"/>
    <w:rsid w:val="00FC4A47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retchen.marshall@ky.gov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acy.desimone@ky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wmf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ypes xmlns="25652375-5976-448a-91e2-83c2698bbafa">Memo</Types>
    <Archived xmlns="25652375-5976-448a-91e2-83c2698bbafa">false</Archived>
    <Memo_x0020_Types xmlns="25652375-5976-448a-91e2-83c2698bbafa">PPM</Memo_x0020_Types>
    <Document_x0020_Year xmlns="25652375-5976-448a-91e2-83c2698bbafa">2014</Document_x0020_Year>
    <rh2e xmlns="a79bd224-4819-40b2-aa9b-f8999d5b687f" xsi:nil="true"/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4C008-EADF-47A6-9CB7-AD28E92EB721}"/>
</file>

<file path=customXml/itemProps2.xml><?xml version="1.0" encoding="utf-8"?>
<ds:datastoreItem xmlns:ds="http://schemas.openxmlformats.org/officeDocument/2006/customXml" ds:itemID="{A183365B-F69C-4E22-80D6-915E973EAAAD}"/>
</file>

<file path=customXml/itemProps3.xml><?xml version="1.0" encoding="utf-8"?>
<ds:datastoreItem xmlns:ds="http://schemas.openxmlformats.org/officeDocument/2006/customXml" ds:itemID="{EB87D388-A06D-4723-B12B-EC47A3EA1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591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PPM 14-13 TWIST Instructions for Moving an OOHC Case to the Ongoing Function and Re-Entry of Aged Out Youth</dc:title>
  <dc:creator>Beth.Holbrook</dc:creator>
  <cp:lastModifiedBy>sarah.cooper</cp:lastModifiedBy>
  <cp:revision>7</cp:revision>
  <cp:lastPrinted>2014-11-06T17:58:00Z</cp:lastPrinted>
  <dcterms:created xsi:type="dcterms:W3CDTF">2014-10-07T14:59:00Z</dcterms:created>
  <dcterms:modified xsi:type="dcterms:W3CDTF">2014-11-07T19:06:00Z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35000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